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0"/>
        <w:rPr>
          <w:rFonts w:hint="default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napToGrid w:val="0"/>
        <w:spacing w:line="300" w:lineRule="exact"/>
        <w:rPr>
          <w:rFonts w:ascii="黑体" w:hAnsi="黑体" w:eastAsia="黑体"/>
          <w:szCs w:val="32"/>
        </w:rPr>
      </w:pP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left="0" w:leftChars="0" w:firstLine="633" w:firstLineChars="198"/>
        <w:jc w:val="left"/>
        <w:textAlignment w:val="baseline"/>
        <w:outlineLvl w:val="9"/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  <w:t>一、耗氧量（以O₂计）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leftChars="0" w:right="0" w:firstLine="633" w:firstLineChars="198"/>
        <w:jc w:val="both"/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vertAlign w:val="baseline"/>
          <w:lang w:val="en-US" w:eastAsia="zh-CN"/>
        </w:rPr>
        <w:t>耗氧量指的是每升水在一定条件下被氧化剂氧化时消耗的氧化剂量，折算为氧的毫克数表示还原性物质。水中还原性物质包括无机物和有机物，主要是有机物，因此耗氧量能间接反映水受有机污染的程度，是评价水体受有机物污染总量的一项综合指标。《食品安全国家标准 包装饮用水》（GB19298</w:t>
      </w:r>
      <w:r>
        <w:rPr>
          <w:rFonts w:hint="eastAsia" w:ascii="Times New Roman" w:hAnsi="Times New Roman" w:eastAsia="仿宋_GB2312" w:cs="Times New Roman"/>
          <w:i w:val="0"/>
          <w:color w:val="000000"/>
          <w:spacing w:val="0"/>
          <w:sz w:val="32"/>
          <w:szCs w:val="32"/>
          <w:vertAlign w:val="baseli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vertAlign w:val="baseline"/>
          <w:lang w:val="en-US" w:eastAsia="zh-CN"/>
        </w:rPr>
        <w:t>2014）中规定，包装饮用水中的耗氧量（以O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vertAlign w:val="baseline"/>
          <w:lang w:val="en-US" w:eastAsia="zh-CN"/>
        </w:rPr>
        <w:t>计）的最大限量为2.0mg/L。造成包装饮用水中耗氧量（以O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vertAlign w:val="baseline"/>
          <w:lang w:val="en-US" w:eastAsia="zh-CN"/>
        </w:rPr>
        <w:t>计）超标的原因，可能是企业生产工艺控制不严格或生产工艺水平较低，无法彻底净化水质；也有可能是水源受到过量有机物的污染。</w:t>
      </w:r>
    </w:p>
    <w:p>
      <w:pPr>
        <w:spacing w:line="594" w:lineRule="exact"/>
        <w:ind w:firstLine="640" w:firstLineChars="200"/>
        <w:textAlignment w:val="baseline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0"/>
        </w:numPr>
        <w:ind w:left="0" w:leftChars="0" w:firstLine="640" w:firstLineChars="200"/>
        <w:outlineLvl w:val="9"/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ascii="黑体" w:hAnsi="宋体" w:eastAsia="黑体" w:cs="黑体"/>
          <w:i w:val="0"/>
          <w:color w:val="000000"/>
          <w:spacing w:val="-12"/>
          <w:sz w:val="32"/>
          <w:szCs w:val="32"/>
          <w:vertAlign w:val="baseline"/>
        </w:rPr>
        <w:t>极性组分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leftChars="0" w:right="0" w:firstLine="633" w:firstLineChars="198"/>
        <w:jc w:val="both"/>
      </w:pPr>
      <w:r>
        <w:rPr>
          <w:rFonts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极性组分是食用油在煎炸过程中发生裂变，产生比正常植物油分子（甘油三酯）极性较大的一些成分，是甘油三酯的热氧化产物、热聚合产物、热氧化聚合产物、水解产物的总称。根据《食品安全国家标准</w:t>
      </w:r>
      <w:r>
        <w:rPr>
          <w:rFonts w:hint="eastAsia" w:ascii="Times New Roman" w:hAnsi="Times New Roman" w:eastAsia="仿宋_GB2312" w:cs="Times New Roman"/>
          <w:i w:val="0"/>
          <w:color w:val="000000"/>
          <w:spacing w:val="0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植物油》（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32"/>
          <w:szCs w:val="32"/>
          <w:vertAlign w:val="baseline"/>
        </w:rPr>
        <w:t>GB2716-2018</w:t>
      </w:r>
      <w:r>
        <w:rPr>
          <w:rFonts w:hint="eastAsia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）的规定，食用植物油煎炸过程中的极性组分不得超过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32"/>
          <w:szCs w:val="32"/>
          <w:vertAlign w:val="baseline"/>
        </w:rPr>
        <w:t>27%</w:t>
      </w:r>
      <w:r>
        <w:rPr>
          <w:rFonts w:hint="eastAsia" w:ascii="仿宋_GB2312" w:eastAsia="仿宋_GB2312" w:cs="仿宋_GB2312"/>
          <w:i w:val="0"/>
          <w:color w:val="000000"/>
          <w:spacing w:val="0"/>
          <w:sz w:val="32"/>
          <w:szCs w:val="32"/>
          <w:vertAlign w:val="baseline"/>
        </w:rPr>
        <w:t>。极性组分不符合标准要求，主要是餐饮加工用油反复使用，次数过多所致。</w:t>
      </w:r>
    </w:p>
    <w:p>
      <w:pPr>
        <w:widowControl w:val="0"/>
        <w:numPr>
          <w:ilvl w:val="0"/>
          <w:numId w:val="0"/>
        </w:numPr>
        <w:spacing w:line="54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textAlignment w:val="baseline"/>
        <w:outlineLvl w:val="9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三、4-氯苯氧乙酸钠（以4-氯苯氧乙酸计）和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6-苄基腺嘌呤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6-BA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）</w:t>
      </w:r>
    </w:p>
    <w:p>
      <w:pPr>
        <w:numPr>
          <w:ilvl w:val="0"/>
          <w:numId w:val="0"/>
        </w:numPr>
        <w:ind w:firstLine="640" w:firstLineChars="200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4-氯苯氧乙酸钠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和6-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苄基腺嘌呤属广谱性植物生长调节剂，可促进植物细胞生长，主要用于无根豆芽的生长调节剂。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《国家食品药品监督管理总局 农业部 国家卫生和计划生育委员会关于豆芽生产过程中禁止使用6-苄基腺嘌呤等物质的公告》（2015年 第11号）中规定，生产者不得在豆芽生产过程中使用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4-氯苯氧乙酸钠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和6-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苄基腺嘌呤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等物质，豆芽经营者不得经营含有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4-氯苯氧乙酸钠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6-苄基腺嘌呤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物质的豆芽。豆芽中检出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4-氯苯氧乙酸钠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6-苄基腺嘌呤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的原因，可能是生产者为提高豆芽产量，从而违规使用相关农药。</w:t>
      </w:r>
    </w:p>
    <w:p>
      <w:pPr>
        <w:widowControl/>
        <w:numPr>
          <w:ilvl w:val="0"/>
          <w:numId w:val="0"/>
        </w:numPr>
        <w:spacing w:line="560" w:lineRule="exact"/>
        <w:ind w:leftChars="0" w:firstLine="420" w:firstLineChars="0"/>
        <w:jc w:val="left"/>
        <w:outlineLvl w:val="9"/>
        <w:rPr>
          <w:rFonts w:hint="eastAsia" w:ascii="黑体" w:eastAsia="黑体"/>
          <w:sz w:val="32"/>
          <w:szCs w:val="32"/>
          <w:lang w:bidi="ar"/>
        </w:rPr>
      </w:pPr>
    </w:p>
    <w:p>
      <w:pPr>
        <w:widowControl/>
        <w:numPr>
          <w:ilvl w:val="0"/>
          <w:numId w:val="0"/>
        </w:numPr>
        <w:spacing w:line="560" w:lineRule="exact"/>
        <w:ind w:leftChars="0" w:firstLine="640" w:firstLineChars="200"/>
        <w:jc w:val="left"/>
        <w:outlineLvl w:val="9"/>
        <w:rPr>
          <w:rFonts w:hint="eastAsia" w:ascii="黑体" w:eastAsia="黑体"/>
          <w:sz w:val="32"/>
          <w:szCs w:val="32"/>
          <w:lang w:eastAsia="zh-CN" w:bidi="ar"/>
        </w:rPr>
      </w:pPr>
      <w:r>
        <w:rPr>
          <w:rFonts w:hint="eastAsia" w:ascii="黑体" w:eastAsia="黑体"/>
          <w:sz w:val="32"/>
          <w:szCs w:val="32"/>
          <w:lang w:eastAsia="zh-CN" w:bidi="ar"/>
        </w:rPr>
        <w:t>四、恩诺沙星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leftChars="0" w:right="0" w:firstLine="620" w:firstLineChars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恩诺沙星属于氟喹诺酮类药物，是一类人工合成的广谱抗菌药，用于治疗动物的皮肤感染、呼吸道感染等，是动物专属用药。《食品安全国家标准 食品中兽药最大残留限量》（GB 31650-2019）中规定，恩诺沙星在牛、禽和其他动物的肌肉中的最高残留限量为100 μg/kg。乌鸡中恩诺沙星超标的原因，可能是养殖户在养殖过程中违规使用相关兽药。</w:t>
      </w:r>
    </w:p>
    <w:p>
      <w:pPr>
        <w:numPr>
          <w:ilvl w:val="0"/>
          <w:numId w:val="0"/>
        </w:numPr>
        <w:ind w:firstLine="640" w:firstLineChars="200"/>
        <w:outlineLvl w:val="9"/>
        <w:rPr>
          <w:rFonts w:hint="eastAsia" w:eastAsia="黑体"/>
          <w:sz w:val="32"/>
          <w:szCs w:val="32"/>
        </w:rPr>
      </w:pPr>
    </w:p>
    <w:p>
      <w:pPr>
        <w:numPr>
          <w:ilvl w:val="0"/>
          <w:numId w:val="0"/>
        </w:numPr>
        <w:ind w:left="620" w:leftChars="0"/>
        <w:outlineLvl w:val="9"/>
        <w:rPr>
          <w:rFonts w:hint="eastAsia" w:ascii="黑体" w:eastAsia="黑体"/>
          <w:sz w:val="32"/>
          <w:szCs w:val="32"/>
          <w:lang w:eastAsia="zh-CN" w:bidi="ar"/>
        </w:rPr>
      </w:pPr>
      <w:r>
        <w:rPr>
          <w:rFonts w:hint="eastAsia" w:ascii="黑体" w:eastAsia="黑体"/>
          <w:sz w:val="32"/>
          <w:szCs w:val="32"/>
          <w:lang w:eastAsia="zh-CN" w:bidi="ar"/>
        </w:rPr>
        <w:t>五、甲氧苄啶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leftChars="0" w:right="0" w:firstLine="620" w:firstLineChars="0"/>
        <w:jc w:val="both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甲氧苄啶属于二氨基嘧啶类药物，常与磺胺类药物一同使用，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 w:bidi="ar-SA"/>
        </w:rPr>
        <w:t>以达到抗菌增效的效果，所以又称为磺胺增效剂。《食品中兽药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最大残留限量》（GB31650-2019）中规定，甲氧苄啶在猪、牛、家禽（产蛋期禁用）中的最大限量为50μg/kg。乌鸡中甲氧苄啶超标的原因，可能是养殖户在养殖过程中违规使用相关兽药。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eastAsia" w:ascii="黑体" w:eastAsia="黑体"/>
          <w:sz w:val="32"/>
          <w:szCs w:val="32"/>
          <w:lang w:eastAsia="zh-CN" w:bidi="ar"/>
        </w:rPr>
      </w:pPr>
      <w:r>
        <w:rPr>
          <w:rFonts w:hint="eastAsia" w:ascii="黑体" w:eastAsia="黑体"/>
          <w:sz w:val="32"/>
          <w:szCs w:val="32"/>
          <w:lang w:eastAsia="zh-CN" w:bidi="ar"/>
        </w:rPr>
        <w:t>六、铜绿假单胞菌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leftChars="0" w:right="0" w:firstLine="620" w:firstLineChars="0"/>
        <w:jc w:val="both"/>
        <w:rPr>
          <w:rFonts w:hint="eastAsia" w:ascii="Times New Roman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铜绿假单胞菌又名绿脓杆菌，是常见的细菌之一，在自然界分布广泛，各种水、空气、正常人的皮肤、呼吸道和肠道等都有该菌存在。对消毒剂、紫外线等具有较强的抵抗力。《食品安全国家标准 包装饮用水》（GB 19298-2014）中规定，在5件包装饮用水样品中，铜绿假单胞菌的检测结果均不得超过0 CFU/250mL。造成饮用纯净水中铜绿假单胞菌不合格原因可能是：一是原料水体受到感染；二是生产过程中卫生控制不严格，杀菌不彻底；三是包装材料清洗消毒不达标。</w:t>
      </w:r>
    </w:p>
    <w:p>
      <w:pPr>
        <w:widowControl w:val="0"/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60" w:lineRule="exact"/>
        <w:ind w:left="0" w:leftChars="0" w:firstLine="633" w:firstLineChars="198"/>
        <w:jc w:val="left"/>
        <w:textAlignment w:val="baseline"/>
        <w:outlineLvl w:val="9"/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  <w:t>七、总酸</w:t>
      </w:r>
    </w:p>
    <w:p>
      <w:pPr>
        <w:widowControl w:val="0"/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总酸是食醋的品质指标，反映其特色的重要特征性指标之一。对酿造食醋来说，酸度越高说明发酵程度越高，食醋的酸味也就越浓，质量也就越好。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《酿造食醋》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GB/T 18187-2000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固态发酵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食醋中总酸最小限量值为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3.50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g/100mL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总酸含量未达标的原因，可能是生产过程工艺控制不严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，包装不严，偷工减料或制假</w:t>
      </w:r>
      <w:r>
        <w:rPr>
          <w:rFonts w:ascii="Times New Roman" w:hAnsi="Times New Roman" w:eastAsia="仿宋_GB2312" w:cs="Times New Roman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5AC1A43"/>
    <w:rsid w:val="0643453F"/>
    <w:rsid w:val="083119A6"/>
    <w:rsid w:val="08C70051"/>
    <w:rsid w:val="0A4036B4"/>
    <w:rsid w:val="0B23740C"/>
    <w:rsid w:val="0BF55D05"/>
    <w:rsid w:val="0D541D8A"/>
    <w:rsid w:val="0E3E57FB"/>
    <w:rsid w:val="0E6E3364"/>
    <w:rsid w:val="125E1B94"/>
    <w:rsid w:val="126C3CBF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0D8603E"/>
    <w:rsid w:val="217B58C1"/>
    <w:rsid w:val="218C1169"/>
    <w:rsid w:val="22EE5E6A"/>
    <w:rsid w:val="24C105FB"/>
    <w:rsid w:val="25842F5B"/>
    <w:rsid w:val="27706704"/>
    <w:rsid w:val="28926171"/>
    <w:rsid w:val="28FE5380"/>
    <w:rsid w:val="293C4333"/>
    <w:rsid w:val="2A266F86"/>
    <w:rsid w:val="2B453547"/>
    <w:rsid w:val="32DE440F"/>
    <w:rsid w:val="342C28E6"/>
    <w:rsid w:val="361165EF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1E35D3"/>
    <w:rsid w:val="52C32932"/>
    <w:rsid w:val="52D4703A"/>
    <w:rsid w:val="534230F9"/>
    <w:rsid w:val="54D163A0"/>
    <w:rsid w:val="575B13D1"/>
    <w:rsid w:val="57CB2923"/>
    <w:rsid w:val="5C9E489B"/>
    <w:rsid w:val="5E0540D0"/>
    <w:rsid w:val="5F7B3A23"/>
    <w:rsid w:val="60FF6D88"/>
    <w:rsid w:val="61DD6D44"/>
    <w:rsid w:val="66325BC9"/>
    <w:rsid w:val="699D6242"/>
    <w:rsid w:val="6BA279B0"/>
    <w:rsid w:val="6BB87E7B"/>
    <w:rsid w:val="74E00729"/>
    <w:rsid w:val="75057978"/>
    <w:rsid w:val="75202347"/>
    <w:rsid w:val="76D75FC2"/>
    <w:rsid w:val="773E5EB6"/>
    <w:rsid w:val="77887501"/>
    <w:rsid w:val="77E37BF6"/>
    <w:rsid w:val="79516C02"/>
    <w:rsid w:val="7BC16283"/>
    <w:rsid w:val="7C6619F8"/>
    <w:rsid w:val="7DC149D8"/>
    <w:rsid w:val="7FE8335D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2021-02-19T04:13:34Z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